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認定都道府県知事の氏名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77777777"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（移転型事業）の実施状況について、地域再生法施行規則第３６条第１項の規定に基づき、下記のとおり報告します。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0B5D0C">
        <w:tc>
          <w:tcPr>
            <w:tcW w:w="1820" w:type="dxa"/>
          </w:tcPr>
          <w:p w14:paraId="741162DB" w14:textId="77777777" w:rsidR="00B8654A" w:rsidRPr="00AE36D7" w:rsidRDefault="00B8654A" w:rsidP="000B5D0C">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0B5D0C">
        <w:tc>
          <w:tcPr>
            <w:tcW w:w="1820" w:type="dxa"/>
            <w:vAlign w:val="center"/>
          </w:tcPr>
          <w:p w14:paraId="0CF6DA78"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B4DAE6A" w14:textId="77777777" w:rsidTr="000B5D0C">
        <w:tc>
          <w:tcPr>
            <w:tcW w:w="1820" w:type="dxa"/>
            <w:vAlign w:val="center"/>
          </w:tcPr>
          <w:p w14:paraId="4F40CF74" w14:textId="77777777" w:rsidR="00B8654A" w:rsidRPr="00AE36D7" w:rsidRDefault="00B8654A" w:rsidP="000B5D0C">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0B5D0C">
            <w:pPr>
              <w:spacing w:line="280" w:lineRule="exact"/>
              <w:rPr>
                <w:rFonts w:asciiTheme="minorEastAsia" w:hAnsiTheme="minorEastAsia"/>
                <w:sz w:val="21"/>
                <w:szCs w:val="21"/>
              </w:rPr>
            </w:pPr>
          </w:p>
        </w:tc>
      </w:tr>
      <w:bookmarkEnd w:id="2"/>
      <w:tr w:rsidR="00B8654A" w:rsidRPr="00AE36D7" w14:paraId="6DDA99A1" w14:textId="77777777" w:rsidTr="000B5D0C">
        <w:tc>
          <w:tcPr>
            <w:tcW w:w="1820" w:type="dxa"/>
            <w:vAlign w:val="center"/>
          </w:tcPr>
          <w:p w14:paraId="7E28E2AF"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336FEFFA" w14:textId="77777777" w:rsidTr="000B5D0C">
        <w:tc>
          <w:tcPr>
            <w:tcW w:w="1820" w:type="dxa"/>
            <w:vAlign w:val="center"/>
          </w:tcPr>
          <w:p w14:paraId="76449A4D"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0B5D0C">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0B5D0C">
        <w:tc>
          <w:tcPr>
            <w:tcW w:w="1820" w:type="dxa"/>
          </w:tcPr>
          <w:p w14:paraId="07538E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0B5D0C">
        <w:tc>
          <w:tcPr>
            <w:tcW w:w="1820" w:type="dxa"/>
            <w:vAlign w:val="center"/>
          </w:tcPr>
          <w:p w14:paraId="4196ECF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0EBE9D46" w14:textId="77777777" w:rsidTr="000B5D0C">
        <w:tc>
          <w:tcPr>
            <w:tcW w:w="1820" w:type="dxa"/>
            <w:vAlign w:val="center"/>
          </w:tcPr>
          <w:p w14:paraId="3F14E7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0B5D0C">
            <w:pPr>
              <w:spacing w:line="280" w:lineRule="exact"/>
              <w:rPr>
                <w:rFonts w:asciiTheme="minorEastAsia" w:hAnsiTheme="minorEastAsia"/>
                <w:sz w:val="21"/>
                <w:szCs w:val="21"/>
              </w:rPr>
            </w:pPr>
          </w:p>
        </w:tc>
      </w:tr>
      <w:tr w:rsidR="00B8654A" w:rsidRPr="00AE36D7" w14:paraId="1DF21E9B" w14:textId="77777777" w:rsidTr="000B5D0C">
        <w:tc>
          <w:tcPr>
            <w:tcW w:w="1820" w:type="dxa"/>
            <w:vAlign w:val="center"/>
          </w:tcPr>
          <w:p w14:paraId="41A4452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76F3B2D" w14:textId="77777777" w:rsidTr="000B5D0C">
        <w:tc>
          <w:tcPr>
            <w:tcW w:w="1820" w:type="dxa"/>
            <w:vAlign w:val="center"/>
          </w:tcPr>
          <w:p w14:paraId="6C8CE4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0B5D0C">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0B5D0C">
        <w:trPr>
          <w:trHeight w:val="974"/>
        </w:trPr>
        <w:tc>
          <w:tcPr>
            <w:tcW w:w="8788" w:type="dxa"/>
          </w:tcPr>
          <w:p w14:paraId="37F15D3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0B5D0C">
            <w:pPr>
              <w:rPr>
                <w:rFonts w:asciiTheme="minorEastAsia" w:hAnsiTheme="minorEastAsia"/>
                <w:sz w:val="21"/>
                <w:szCs w:val="21"/>
              </w:rPr>
            </w:pPr>
          </w:p>
          <w:p w14:paraId="1B161D25" w14:textId="77777777" w:rsidR="00B8654A" w:rsidRPr="00AE36D7" w:rsidRDefault="00B8654A" w:rsidP="000B5D0C">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B8654A" w:rsidRPr="00AE36D7" w14:paraId="1598600E" w14:textId="77777777" w:rsidTr="000B5D0C">
        <w:tc>
          <w:tcPr>
            <w:tcW w:w="2216" w:type="dxa"/>
          </w:tcPr>
          <w:p w14:paraId="74A7A8F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90" w:type="dxa"/>
          </w:tcPr>
          <w:p w14:paraId="5F098C6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91" w:type="dxa"/>
          </w:tcPr>
          <w:p w14:paraId="0C5C3DB0"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91" w:type="dxa"/>
          </w:tcPr>
          <w:p w14:paraId="49B73C7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0B5D0C">
        <w:tc>
          <w:tcPr>
            <w:tcW w:w="2216" w:type="dxa"/>
          </w:tcPr>
          <w:p w14:paraId="11A9A7F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2190" w:type="dxa"/>
            <w:vAlign w:val="center"/>
          </w:tcPr>
          <w:p w14:paraId="349E89E0"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91" w:type="dxa"/>
            <w:vAlign w:val="center"/>
          </w:tcPr>
          <w:p w14:paraId="411C1E9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91" w:type="dxa"/>
            <w:vAlign w:val="center"/>
          </w:tcPr>
          <w:p w14:paraId="6ECEFE0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33"/>
        <w:gridCol w:w="1579"/>
        <w:gridCol w:w="1738"/>
        <w:gridCol w:w="1788"/>
        <w:gridCol w:w="1690"/>
        <w:gridCol w:w="1640"/>
      </w:tblGrid>
      <w:tr w:rsidR="00B8654A" w:rsidRPr="00AE36D7" w14:paraId="76011203"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38" w:type="dxa"/>
            <w:tcBorders>
              <w:top w:val="single" w:sz="4" w:space="0" w:color="auto"/>
              <w:left w:val="single" w:sz="4" w:space="0" w:color="auto"/>
              <w:bottom w:val="single" w:sz="4" w:space="0" w:color="auto"/>
              <w:right w:val="single" w:sz="4" w:space="0" w:color="auto"/>
            </w:tcBorders>
            <w:hideMark/>
          </w:tcPr>
          <w:p w14:paraId="59E56977"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88" w:type="dxa"/>
            <w:tcBorders>
              <w:top w:val="single" w:sz="4" w:space="0" w:color="auto"/>
              <w:left w:val="single" w:sz="4" w:space="0" w:color="auto"/>
              <w:bottom w:val="single" w:sz="4" w:space="0" w:color="auto"/>
              <w:right w:val="single" w:sz="4" w:space="0" w:color="auto"/>
            </w:tcBorders>
            <w:hideMark/>
          </w:tcPr>
          <w:p w14:paraId="510BE0A8"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690"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0"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0B5D0C">
        <w:tc>
          <w:tcPr>
            <w:tcW w:w="1812" w:type="dxa"/>
            <w:gridSpan w:val="2"/>
            <w:tcBorders>
              <w:top w:val="single" w:sz="4" w:space="0" w:color="auto"/>
              <w:left w:val="single" w:sz="4" w:space="0" w:color="auto"/>
              <w:bottom w:val="nil"/>
              <w:right w:val="single" w:sz="4" w:space="0" w:color="auto"/>
            </w:tcBorders>
            <w:hideMark/>
          </w:tcPr>
          <w:p w14:paraId="221D0563"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0B5D0C">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0B5D0C">
            <w:pPr>
              <w:rPr>
                <w:rFonts w:asciiTheme="minorEastAsia" w:hAnsiTheme="minorEastAsia"/>
                <w:color w:val="000000" w:themeColor="text1"/>
                <w:sz w:val="21"/>
                <w:szCs w:val="21"/>
              </w:rPr>
            </w:pPr>
          </w:p>
        </w:tc>
        <w:tc>
          <w:tcPr>
            <w:tcW w:w="1579"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909D2A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F2A526"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39CB4D8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4B49D4"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他の事業所への転勤者数及び離職者数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10271D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は、新規採用者数、（３）に定める減少した従業員数</w:t>
      </w:r>
      <w:r>
        <w:rPr>
          <w:rFonts w:asciiTheme="minorEastAsia" w:hAnsiTheme="minorEastAsia" w:hint="eastAsia"/>
          <w:color w:val="000000" w:themeColor="text1"/>
          <w:sz w:val="21"/>
          <w:szCs w:val="21"/>
        </w:rPr>
        <w:t>並びに（３）に定める</w:t>
      </w:r>
      <w:r w:rsidRPr="00AE36D7">
        <w:rPr>
          <w:rFonts w:asciiTheme="minorEastAsia" w:hAnsiTheme="minorEastAsia" w:hint="eastAsia"/>
          <w:color w:val="000000" w:themeColor="text1"/>
          <w:sz w:val="21"/>
          <w:szCs w:val="21"/>
        </w:rPr>
        <w:t>定年退職者及び自己都合退職者の数のうち、最も少ない数を記載すること。</w:t>
      </w:r>
    </w:p>
    <w:p w14:paraId="0CDB4D4A"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合計</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w:t>
      </w:r>
      <w:r>
        <w:rPr>
          <w:rFonts w:asciiTheme="minorEastAsia" w:hAnsiTheme="minorEastAsia" w:hint="eastAsia"/>
          <w:color w:val="000000" w:themeColor="text1"/>
          <w:sz w:val="21"/>
          <w:szCs w:val="21"/>
        </w:rPr>
        <w:t>及び</w:t>
      </w:r>
      <w:r w:rsidRPr="00AE36D7">
        <w:rPr>
          <w:rFonts w:asciiTheme="minorEastAsia" w:hAnsiTheme="minorEastAsia" w:hint="eastAsia"/>
          <w:color w:val="000000" w:themeColor="text1"/>
          <w:sz w:val="21"/>
          <w:szCs w:val="21"/>
        </w:rPr>
        <w:t>特定集中地域等にある他の事業所からの転勤者数から他の事業所への転勤者数等を差し引いた人数を記載すること。</w:t>
      </w:r>
    </w:p>
    <w:p w14:paraId="5430B57F"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723"/>
        <w:gridCol w:w="1709"/>
        <w:gridCol w:w="1710"/>
        <w:gridCol w:w="1862"/>
        <w:gridCol w:w="1664"/>
      </w:tblGrid>
      <w:tr w:rsidR="00B8654A" w:rsidRPr="00AE36D7" w14:paraId="79E5A12D"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09" w:type="dxa"/>
            <w:tcBorders>
              <w:top w:val="single" w:sz="4" w:space="0" w:color="auto"/>
              <w:left w:val="single" w:sz="4" w:space="0" w:color="auto"/>
              <w:bottom w:val="single" w:sz="4" w:space="0" w:color="auto"/>
              <w:right w:val="single" w:sz="4" w:space="0" w:color="auto"/>
            </w:tcBorders>
            <w:hideMark/>
          </w:tcPr>
          <w:p w14:paraId="066EF6E4"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10" w:type="dxa"/>
            <w:tcBorders>
              <w:top w:val="single" w:sz="4" w:space="0" w:color="auto"/>
              <w:left w:val="single" w:sz="4" w:space="0" w:color="auto"/>
              <w:bottom w:val="single" w:sz="4" w:space="0" w:color="auto"/>
              <w:right w:val="single" w:sz="4" w:space="0" w:color="auto"/>
            </w:tcBorders>
            <w:hideMark/>
          </w:tcPr>
          <w:p w14:paraId="6A022D8A"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862"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6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408CFAB"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5E31F199" w14:textId="77777777" w:rsidR="00B8654A" w:rsidRPr="00AE36D7" w:rsidRDefault="00B8654A" w:rsidP="00B8654A">
      <w:pPr>
        <w:ind w:leftChars="100" w:left="450" w:hangingChars="100" w:hanging="210"/>
        <w:rPr>
          <w:rFonts w:asciiTheme="minorEastAsia" w:hAnsiTheme="minorEastAsia"/>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3D0E565F"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02"/>
        <w:gridCol w:w="1376"/>
        <w:gridCol w:w="4290"/>
      </w:tblGrid>
      <w:tr w:rsidR="00B8654A" w:rsidRPr="00AE36D7" w14:paraId="4CD48E77" w14:textId="77777777" w:rsidTr="000B5D0C">
        <w:tc>
          <w:tcPr>
            <w:tcW w:w="3044" w:type="dxa"/>
          </w:tcPr>
          <w:p w14:paraId="6A14418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391" w:type="dxa"/>
          </w:tcPr>
          <w:p w14:paraId="262352D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353" w:type="dxa"/>
          </w:tcPr>
          <w:p w14:paraId="342D66FC"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52445317" w14:textId="77777777" w:rsidTr="000B5D0C">
        <w:tc>
          <w:tcPr>
            <w:tcW w:w="3044" w:type="dxa"/>
          </w:tcPr>
          <w:p w14:paraId="116A388F" w14:textId="77777777" w:rsidR="00B8654A" w:rsidRPr="00AE36D7" w:rsidRDefault="00B8654A" w:rsidP="000B5D0C">
            <w:pPr>
              <w:rPr>
                <w:rFonts w:asciiTheme="minorEastAsia" w:hAnsiTheme="minorEastAsia"/>
                <w:sz w:val="21"/>
                <w:szCs w:val="21"/>
              </w:rPr>
            </w:pPr>
          </w:p>
        </w:tc>
        <w:tc>
          <w:tcPr>
            <w:tcW w:w="1391" w:type="dxa"/>
          </w:tcPr>
          <w:p w14:paraId="33088ACF"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9C1FE43" w14:textId="77777777" w:rsidR="00B8654A" w:rsidRPr="00AE36D7" w:rsidRDefault="00B8654A" w:rsidP="000B5D0C">
            <w:pPr>
              <w:rPr>
                <w:rFonts w:asciiTheme="minorEastAsia" w:hAnsiTheme="minorEastAsia"/>
                <w:sz w:val="21"/>
                <w:szCs w:val="21"/>
              </w:rPr>
            </w:pPr>
          </w:p>
        </w:tc>
      </w:tr>
      <w:tr w:rsidR="00B8654A" w:rsidRPr="00AE36D7" w14:paraId="06BE97BA" w14:textId="77777777" w:rsidTr="000B5D0C">
        <w:tc>
          <w:tcPr>
            <w:tcW w:w="3044" w:type="dxa"/>
          </w:tcPr>
          <w:p w14:paraId="223471C6" w14:textId="77777777" w:rsidR="00B8654A" w:rsidRPr="00AE36D7" w:rsidRDefault="00B8654A" w:rsidP="000B5D0C">
            <w:pPr>
              <w:rPr>
                <w:rFonts w:asciiTheme="minorEastAsia" w:hAnsiTheme="minorEastAsia"/>
                <w:sz w:val="21"/>
                <w:szCs w:val="21"/>
              </w:rPr>
            </w:pPr>
          </w:p>
        </w:tc>
        <w:tc>
          <w:tcPr>
            <w:tcW w:w="1391" w:type="dxa"/>
          </w:tcPr>
          <w:p w14:paraId="50FD794B"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7230D36" w14:textId="77777777" w:rsidR="00B8654A" w:rsidRPr="00AE36D7" w:rsidRDefault="00B8654A" w:rsidP="000B5D0C">
            <w:pPr>
              <w:rPr>
                <w:rFonts w:asciiTheme="minorEastAsia" w:hAnsiTheme="minorEastAsia"/>
                <w:sz w:val="21"/>
                <w:szCs w:val="21"/>
              </w:rPr>
            </w:pPr>
          </w:p>
        </w:tc>
      </w:tr>
      <w:tr w:rsidR="00B8654A" w:rsidRPr="00AE36D7" w14:paraId="60A038F7" w14:textId="77777777" w:rsidTr="000B5D0C">
        <w:tc>
          <w:tcPr>
            <w:tcW w:w="3044" w:type="dxa"/>
          </w:tcPr>
          <w:p w14:paraId="58CF7C82" w14:textId="77777777" w:rsidR="00B8654A" w:rsidRPr="00AE36D7" w:rsidRDefault="00B8654A" w:rsidP="000B5D0C">
            <w:pPr>
              <w:rPr>
                <w:rFonts w:asciiTheme="minorEastAsia" w:hAnsiTheme="minorEastAsia"/>
                <w:sz w:val="21"/>
                <w:szCs w:val="21"/>
              </w:rPr>
            </w:pPr>
          </w:p>
        </w:tc>
        <w:tc>
          <w:tcPr>
            <w:tcW w:w="1391" w:type="dxa"/>
          </w:tcPr>
          <w:p w14:paraId="2AE85B13"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FAA532" w14:textId="77777777" w:rsidR="00B8654A" w:rsidRPr="00AE36D7" w:rsidRDefault="00B8654A" w:rsidP="000B5D0C">
            <w:pPr>
              <w:rPr>
                <w:rFonts w:asciiTheme="minorEastAsia" w:hAnsiTheme="minorEastAsia"/>
                <w:sz w:val="21"/>
                <w:szCs w:val="21"/>
              </w:rPr>
            </w:pPr>
          </w:p>
        </w:tc>
      </w:tr>
      <w:tr w:rsidR="00B8654A" w:rsidRPr="00AE36D7" w14:paraId="2EBE266C" w14:textId="77777777" w:rsidTr="000B5D0C">
        <w:tc>
          <w:tcPr>
            <w:tcW w:w="3044" w:type="dxa"/>
          </w:tcPr>
          <w:p w14:paraId="7DB658B5" w14:textId="77777777" w:rsidR="00B8654A" w:rsidRPr="00AE36D7" w:rsidRDefault="00B8654A" w:rsidP="000B5D0C">
            <w:pPr>
              <w:rPr>
                <w:rFonts w:asciiTheme="minorEastAsia" w:hAnsiTheme="minorEastAsia"/>
                <w:sz w:val="21"/>
                <w:szCs w:val="21"/>
              </w:rPr>
            </w:pPr>
          </w:p>
        </w:tc>
        <w:tc>
          <w:tcPr>
            <w:tcW w:w="1391" w:type="dxa"/>
          </w:tcPr>
          <w:p w14:paraId="5776170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85F654D" w14:textId="77777777" w:rsidR="00B8654A" w:rsidRPr="00AE36D7" w:rsidRDefault="00B8654A" w:rsidP="000B5D0C">
            <w:pPr>
              <w:rPr>
                <w:rFonts w:asciiTheme="minorEastAsia" w:hAnsiTheme="minorEastAsia"/>
                <w:sz w:val="21"/>
                <w:szCs w:val="21"/>
              </w:rPr>
            </w:pPr>
          </w:p>
        </w:tc>
      </w:tr>
      <w:tr w:rsidR="00B8654A" w:rsidRPr="00AE36D7" w14:paraId="5B88B039" w14:textId="77777777" w:rsidTr="000B5D0C">
        <w:tc>
          <w:tcPr>
            <w:tcW w:w="3044" w:type="dxa"/>
          </w:tcPr>
          <w:p w14:paraId="4FD4C2D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391" w:type="dxa"/>
          </w:tcPr>
          <w:p w14:paraId="3043A87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A3C350" w14:textId="77777777" w:rsidR="00B8654A" w:rsidRPr="00AE36D7" w:rsidRDefault="00B8654A" w:rsidP="000B5D0C">
            <w:pPr>
              <w:rPr>
                <w:rFonts w:asciiTheme="minorEastAsia" w:hAnsiTheme="minorEastAsia"/>
                <w:sz w:val="21"/>
                <w:szCs w:val="21"/>
              </w:rPr>
            </w:pPr>
          </w:p>
        </w:tc>
      </w:tr>
    </w:tbl>
    <w:p w14:paraId="25DD649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Pr="00AE36D7"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7757CF65"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w:t>
      </w:r>
      <w:r>
        <w:rPr>
          <w:rFonts w:asciiTheme="minorEastAsia" w:hAnsiTheme="minorEastAsia" w:hint="eastAsia"/>
          <w:sz w:val="21"/>
          <w:szCs w:val="21"/>
        </w:rPr>
        <w:t>第１項</w:t>
      </w:r>
      <w:r w:rsidRPr="00AE36D7">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B8654A" w:rsidRPr="00AE36D7" w14:paraId="2828E8E2" w14:textId="77777777" w:rsidTr="000B5D0C">
        <w:tc>
          <w:tcPr>
            <w:tcW w:w="2268" w:type="dxa"/>
          </w:tcPr>
          <w:p w14:paraId="7EBC4DB9"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73" w:type="dxa"/>
          </w:tcPr>
          <w:p w14:paraId="18FEB21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73" w:type="dxa"/>
          </w:tcPr>
          <w:p w14:paraId="7E03B86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74" w:type="dxa"/>
          </w:tcPr>
          <w:p w14:paraId="6FC65E9F"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B5D0C">
        <w:tc>
          <w:tcPr>
            <w:tcW w:w="2268" w:type="dxa"/>
          </w:tcPr>
          <w:p w14:paraId="447AE7F7"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2173" w:type="dxa"/>
            <w:vAlign w:val="center"/>
          </w:tcPr>
          <w:p w14:paraId="3A21BB9C"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3B271116"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64C7426C"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B5D0C">
        <w:tc>
          <w:tcPr>
            <w:tcW w:w="2268" w:type="dxa"/>
          </w:tcPr>
          <w:p w14:paraId="3E2A410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2173" w:type="dxa"/>
            <w:vAlign w:val="center"/>
          </w:tcPr>
          <w:p w14:paraId="760EA55A"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2AEA63C9"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7D02D3AF"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Pr="00E1446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5308"/>
        <w:gridCol w:w="1680"/>
        <w:gridCol w:w="1680"/>
      </w:tblGrid>
      <w:tr w:rsidR="00B8654A" w:rsidRPr="00AE36D7" w14:paraId="32B0E198" w14:textId="77777777" w:rsidTr="000B5D0C">
        <w:tc>
          <w:tcPr>
            <w:tcW w:w="5386" w:type="dxa"/>
          </w:tcPr>
          <w:p w14:paraId="7E98FE6E" w14:textId="77777777" w:rsidR="00B8654A" w:rsidRPr="00AE36D7" w:rsidRDefault="00B8654A" w:rsidP="000B5D0C">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02" w:type="dxa"/>
            <w:gridSpan w:val="2"/>
            <w:tcBorders>
              <w:bottom w:val="single" w:sz="4" w:space="0" w:color="auto"/>
            </w:tcBorders>
          </w:tcPr>
          <w:p w14:paraId="4E65CE8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0B5D0C">
        <w:trPr>
          <w:trHeight w:val="656"/>
        </w:trPr>
        <w:tc>
          <w:tcPr>
            <w:tcW w:w="5386" w:type="dxa"/>
          </w:tcPr>
          <w:p w14:paraId="46CB41C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7EA887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227188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0B5D0C">
        <w:trPr>
          <w:trHeight w:val="656"/>
        </w:trPr>
        <w:tc>
          <w:tcPr>
            <w:tcW w:w="5386" w:type="dxa"/>
          </w:tcPr>
          <w:p w14:paraId="2DB6F7D6"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5F4E855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625D2D38"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31461838" w14:textId="77777777" w:rsidTr="000B5D0C">
        <w:trPr>
          <w:trHeight w:val="656"/>
        </w:trPr>
        <w:tc>
          <w:tcPr>
            <w:tcW w:w="5386" w:type="dxa"/>
            <w:vAlign w:val="center"/>
          </w:tcPr>
          <w:p w14:paraId="354ECA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新規雇用等に対する課税の特例措置（税額控除）</w:t>
            </w:r>
          </w:p>
        </w:tc>
        <w:tc>
          <w:tcPr>
            <w:tcW w:w="1701" w:type="dxa"/>
            <w:tcBorders>
              <w:right w:val="nil"/>
            </w:tcBorders>
            <w:vAlign w:val="center"/>
          </w:tcPr>
          <w:p w14:paraId="2ABAB983"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586B8E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bl>
    <w:p w14:paraId="691BE8C5" w14:textId="77777777" w:rsidR="00B8654A" w:rsidRPr="00AE36D7" w:rsidRDefault="00B8654A" w:rsidP="00B8654A">
      <w:pPr>
        <w:ind w:firstLineChars="100" w:firstLine="210"/>
        <w:rPr>
          <w:sz w:val="21"/>
          <w:szCs w:val="21"/>
        </w:rPr>
      </w:pPr>
    </w:p>
    <w:p w14:paraId="6EBDB1E5" w14:textId="77777777"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4AB8"/>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5.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ユーザー</cp:lastModifiedBy>
  <cp:revision>3</cp:revision>
  <cp:lastPrinted>2024-04-11T08:25:00Z</cp:lastPrinted>
  <dcterms:created xsi:type="dcterms:W3CDTF">2024-04-11T09:41:00Z</dcterms:created>
  <dcterms:modified xsi:type="dcterms:W3CDTF">2024-05-20T02:59:00Z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